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24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color w:val="auto"/>
          <w:sz w:val="48"/>
          <w:szCs w:val="48"/>
        </w:rPr>
      </w:pPr>
      <w:r>
        <w:rPr>
          <w:b w:val="0"/>
          <w:bCs w:val="0"/>
          <w:i w:val="0"/>
          <w:iCs w:val="0"/>
          <w:caps w:val="0"/>
          <w:color w:val="auto"/>
          <w:spacing w:val="0"/>
          <w:sz w:val="48"/>
          <w:szCs w:val="48"/>
          <w:bdr w:val="none" w:color="auto" w:sz="0" w:space="0"/>
          <w:shd w:val="clear" w:fill="FFFFFF"/>
        </w:rPr>
        <w:t>江苏省财政厅关于印发《江苏省省级机关评审工作专家劳务费管理办法》的通</w:t>
      </w:r>
      <w:bookmarkStart w:id="0" w:name="_GoBack"/>
      <w:bookmarkEnd w:id="0"/>
      <w:r>
        <w:rPr>
          <w:b w:val="0"/>
          <w:bCs w:val="0"/>
          <w:i w:val="0"/>
          <w:iCs w:val="0"/>
          <w:caps w:val="0"/>
          <w:color w:val="auto"/>
          <w:spacing w:val="0"/>
          <w:sz w:val="48"/>
          <w:szCs w:val="48"/>
          <w:bdr w:val="none" w:color="auto" w:sz="0" w:space="0"/>
          <w:shd w:val="clear" w:fill="FFFFFF"/>
        </w:rPr>
        <w:t>知</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Layout w:type="autofit"/>
        <w:tblCellMar>
          <w:top w:w="0" w:type="dxa"/>
          <w:left w:w="0" w:type="dxa"/>
          <w:bottom w:w="0" w:type="dxa"/>
          <w:right w:w="0" w:type="dxa"/>
        </w:tblCellMar>
      </w:tblPr>
      <w:tblGrid>
        <w:gridCol w:w="1434"/>
        <w:gridCol w:w="4004"/>
        <w:gridCol w:w="1300"/>
        <w:gridCol w:w="1584"/>
      </w:tblGrid>
      <w:tr w14:paraId="68BE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rPr>
        <w:tc>
          <w:tcPr>
            <w:tcW w:w="2625" w:type="dxa"/>
            <w:tcBorders>
              <w:top w:val="single" w:color="E0E0E0" w:sz="6" w:space="0"/>
              <w:left w:val="single" w:color="E0E0E0" w:sz="6" w:space="0"/>
              <w:bottom w:val="single" w:color="E0E0E0" w:sz="6" w:space="0"/>
              <w:right w:val="single" w:color="E0E0E0" w:sz="6" w:space="0"/>
            </w:tcBorders>
            <w:shd w:val="clear" w:color="auto" w:fill="F6F7F7"/>
            <w:vAlign w:val="center"/>
          </w:tcPr>
          <w:p w14:paraId="3ECBE5CA">
            <w:pPr>
              <w:keepNext w:val="0"/>
              <w:keepLines w:val="0"/>
              <w:widowControl/>
              <w:suppressLineNumbers w:val="0"/>
              <w:spacing w:before="0" w:beforeAutospacing="0" w:after="0" w:afterAutospacing="0" w:line="450" w:lineRule="atLeast"/>
              <w:ind w:left="0" w:right="0"/>
              <w:jc w:val="center"/>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索 引 号</w:t>
            </w:r>
          </w:p>
        </w:tc>
        <w:tc>
          <w:tcPr>
            <w:tcW w:w="5025" w:type="dxa"/>
            <w:tcBorders>
              <w:top w:val="single" w:color="E0E0E0" w:sz="6" w:space="0"/>
              <w:left w:val="single" w:color="E0E0E0" w:sz="6" w:space="0"/>
              <w:bottom w:val="single" w:color="E0E0E0" w:sz="6" w:space="0"/>
              <w:right w:val="single" w:color="E0E0E0" w:sz="6" w:space="0"/>
            </w:tcBorders>
            <w:shd w:val="clear" w:color="auto" w:fill="FFFFFF"/>
            <w:vAlign w:val="center"/>
          </w:tcPr>
          <w:p w14:paraId="60613FC0">
            <w:pPr>
              <w:keepNext w:val="0"/>
              <w:keepLines w:val="0"/>
              <w:widowControl/>
              <w:suppressLineNumbers w:val="0"/>
              <w:spacing w:before="0" w:beforeAutospacing="0" w:after="0" w:afterAutospacing="0" w:line="450" w:lineRule="atLeast"/>
              <w:ind w:left="0" w:right="0"/>
              <w:jc w:val="left"/>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 014000677/2023-02022</w:t>
            </w:r>
          </w:p>
        </w:tc>
        <w:tc>
          <w:tcPr>
            <w:tcW w:w="2625" w:type="dxa"/>
            <w:tcBorders>
              <w:top w:val="single" w:color="E0E0E0" w:sz="6" w:space="0"/>
              <w:left w:val="single" w:color="E0E0E0" w:sz="6" w:space="0"/>
              <w:bottom w:val="single" w:color="E0E0E0" w:sz="6" w:space="0"/>
              <w:right w:val="single" w:color="E0E0E0" w:sz="6" w:space="0"/>
            </w:tcBorders>
            <w:shd w:val="clear" w:color="auto" w:fill="F6F7F7"/>
            <w:vAlign w:val="center"/>
          </w:tcPr>
          <w:p w14:paraId="36887172">
            <w:pPr>
              <w:keepNext w:val="0"/>
              <w:keepLines w:val="0"/>
              <w:widowControl/>
              <w:suppressLineNumbers w:val="0"/>
              <w:spacing w:before="0" w:beforeAutospacing="0" w:after="0" w:afterAutospacing="0" w:line="450" w:lineRule="atLeast"/>
              <w:ind w:left="0" w:right="0"/>
              <w:jc w:val="center"/>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信息分类</w:t>
            </w:r>
          </w:p>
        </w:tc>
        <w:tc>
          <w:tcPr>
            <w:tcW w:w="0" w:type="auto"/>
            <w:tcBorders>
              <w:top w:val="single" w:color="E0E0E0" w:sz="6" w:space="0"/>
              <w:left w:val="single" w:color="E0E0E0" w:sz="6" w:space="0"/>
              <w:bottom w:val="single" w:color="E0E0E0" w:sz="6" w:space="0"/>
              <w:right w:val="single" w:color="E0E0E0" w:sz="6" w:space="0"/>
            </w:tcBorders>
            <w:shd w:val="clear" w:color="auto" w:fill="FFFFFF"/>
            <w:vAlign w:val="center"/>
          </w:tcPr>
          <w:p w14:paraId="5766A3F9">
            <w:pPr>
              <w:keepNext w:val="0"/>
              <w:keepLines w:val="0"/>
              <w:widowControl/>
              <w:suppressLineNumbers w:val="0"/>
              <w:spacing w:before="0" w:beforeAutospacing="0" w:after="0" w:afterAutospacing="0" w:line="450" w:lineRule="atLeast"/>
              <w:ind w:left="0" w:right="0"/>
              <w:jc w:val="left"/>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 财政行政政法</w:t>
            </w:r>
          </w:p>
        </w:tc>
      </w:tr>
      <w:tr w14:paraId="67F7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rPr>
        <w:tc>
          <w:tcPr>
            <w:tcW w:w="0" w:type="auto"/>
            <w:tcBorders>
              <w:top w:val="single" w:color="E0E0E0" w:sz="6" w:space="0"/>
              <w:left w:val="single" w:color="E0E0E0" w:sz="6" w:space="0"/>
              <w:bottom w:val="single" w:color="E0E0E0" w:sz="6" w:space="0"/>
              <w:right w:val="single" w:color="E0E0E0" w:sz="6" w:space="0"/>
            </w:tcBorders>
            <w:shd w:val="clear" w:color="auto" w:fill="F6F7F7"/>
            <w:vAlign w:val="center"/>
          </w:tcPr>
          <w:p w14:paraId="04FB746D">
            <w:pPr>
              <w:keepNext w:val="0"/>
              <w:keepLines w:val="0"/>
              <w:widowControl/>
              <w:suppressLineNumbers w:val="0"/>
              <w:spacing w:before="0" w:beforeAutospacing="0" w:after="0" w:afterAutospacing="0" w:line="450" w:lineRule="atLeast"/>
              <w:ind w:left="0" w:right="0"/>
              <w:jc w:val="center"/>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发布机构</w:t>
            </w:r>
          </w:p>
        </w:tc>
        <w:tc>
          <w:tcPr>
            <w:tcW w:w="0" w:type="auto"/>
            <w:tcBorders>
              <w:top w:val="single" w:color="E0E0E0" w:sz="6" w:space="0"/>
              <w:left w:val="single" w:color="E0E0E0" w:sz="6" w:space="0"/>
              <w:bottom w:val="single" w:color="E0E0E0" w:sz="6" w:space="0"/>
              <w:right w:val="single" w:color="E0E0E0" w:sz="6" w:space="0"/>
            </w:tcBorders>
            <w:shd w:val="clear" w:color="auto" w:fill="FFFFFF"/>
            <w:vAlign w:val="center"/>
          </w:tcPr>
          <w:p w14:paraId="3A09CA36">
            <w:pPr>
              <w:keepNext w:val="0"/>
              <w:keepLines w:val="0"/>
              <w:widowControl/>
              <w:suppressLineNumbers w:val="0"/>
              <w:spacing w:before="0" w:beforeAutospacing="0" w:after="0" w:afterAutospacing="0" w:line="450" w:lineRule="atLeast"/>
              <w:ind w:left="0" w:right="0"/>
              <w:jc w:val="left"/>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 财政厅行政政法处</w:t>
            </w:r>
          </w:p>
        </w:tc>
        <w:tc>
          <w:tcPr>
            <w:tcW w:w="0" w:type="auto"/>
            <w:tcBorders>
              <w:top w:val="single" w:color="E0E0E0" w:sz="6" w:space="0"/>
              <w:left w:val="single" w:color="E0E0E0" w:sz="6" w:space="0"/>
              <w:bottom w:val="single" w:color="E0E0E0" w:sz="6" w:space="0"/>
              <w:right w:val="single" w:color="E0E0E0" w:sz="6" w:space="0"/>
            </w:tcBorders>
            <w:shd w:val="clear" w:color="auto" w:fill="F6F7F7"/>
            <w:vAlign w:val="center"/>
          </w:tcPr>
          <w:p w14:paraId="6A15EAB8">
            <w:pPr>
              <w:keepNext w:val="0"/>
              <w:keepLines w:val="0"/>
              <w:widowControl/>
              <w:suppressLineNumbers w:val="0"/>
              <w:spacing w:before="0" w:beforeAutospacing="0" w:after="0" w:afterAutospacing="0" w:line="450" w:lineRule="atLeast"/>
              <w:ind w:left="0" w:right="0"/>
              <w:jc w:val="center"/>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发布日期</w:t>
            </w:r>
          </w:p>
        </w:tc>
        <w:tc>
          <w:tcPr>
            <w:tcW w:w="0" w:type="auto"/>
            <w:tcBorders>
              <w:top w:val="single" w:color="E0E0E0" w:sz="6" w:space="0"/>
              <w:left w:val="single" w:color="E0E0E0" w:sz="6" w:space="0"/>
              <w:bottom w:val="single" w:color="E0E0E0" w:sz="6" w:space="0"/>
              <w:right w:val="single" w:color="E0E0E0" w:sz="6" w:space="0"/>
            </w:tcBorders>
            <w:shd w:val="clear" w:color="auto" w:fill="FFFFFF"/>
            <w:tcMar>
              <w:left w:w="75" w:type="dxa"/>
            </w:tcMar>
            <w:vAlign w:val="center"/>
          </w:tcPr>
          <w:p w14:paraId="0421E05F">
            <w:pPr>
              <w:keepNext w:val="0"/>
              <w:keepLines w:val="0"/>
              <w:widowControl/>
              <w:suppressLineNumbers w:val="0"/>
              <w:spacing w:before="0" w:beforeAutospacing="0" w:after="0" w:afterAutospacing="0" w:line="450" w:lineRule="atLeast"/>
              <w:ind w:left="0" w:right="0"/>
              <w:jc w:val="left"/>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2023-12-27</w:t>
            </w:r>
          </w:p>
        </w:tc>
      </w:tr>
      <w:tr w14:paraId="79EF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rPr>
        <w:tc>
          <w:tcPr>
            <w:tcW w:w="0" w:type="auto"/>
            <w:tcBorders>
              <w:top w:val="single" w:color="E0E0E0" w:sz="6" w:space="0"/>
              <w:left w:val="single" w:color="E0E0E0" w:sz="6" w:space="0"/>
              <w:bottom w:val="single" w:color="E0E0E0" w:sz="6" w:space="0"/>
              <w:right w:val="single" w:color="E0E0E0" w:sz="6" w:space="0"/>
            </w:tcBorders>
            <w:shd w:val="clear" w:color="auto" w:fill="F6F7F7"/>
            <w:vAlign w:val="center"/>
          </w:tcPr>
          <w:p w14:paraId="25A335F2">
            <w:pPr>
              <w:keepNext w:val="0"/>
              <w:keepLines w:val="0"/>
              <w:widowControl/>
              <w:suppressLineNumbers w:val="0"/>
              <w:spacing w:before="0" w:beforeAutospacing="0" w:after="0" w:afterAutospacing="0" w:line="450" w:lineRule="atLeast"/>
              <w:ind w:left="0" w:right="0"/>
              <w:jc w:val="center"/>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信息名称</w:t>
            </w:r>
          </w:p>
        </w:tc>
        <w:tc>
          <w:tcPr>
            <w:tcW w:w="0" w:type="auto"/>
            <w:gridSpan w:val="3"/>
            <w:tcBorders>
              <w:top w:val="single" w:color="E0E0E0" w:sz="6" w:space="0"/>
              <w:left w:val="single" w:color="E0E0E0" w:sz="6" w:space="0"/>
              <w:bottom w:val="single" w:color="E0E0E0" w:sz="6" w:space="0"/>
              <w:right w:val="single" w:color="E0E0E0" w:sz="6" w:space="0"/>
            </w:tcBorders>
            <w:shd w:val="clear" w:color="auto" w:fill="FFFFFF"/>
            <w:vAlign w:val="center"/>
          </w:tcPr>
          <w:p w14:paraId="36D0ADDA">
            <w:pPr>
              <w:keepNext w:val="0"/>
              <w:keepLines w:val="0"/>
              <w:widowControl/>
              <w:suppressLineNumbers w:val="0"/>
              <w:spacing w:before="0" w:beforeAutospacing="0" w:after="0" w:afterAutospacing="0" w:line="450" w:lineRule="atLeast"/>
              <w:ind w:left="0" w:right="0"/>
              <w:jc w:val="left"/>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 江苏省财政厅关于印发《江苏省省级机关评审工作专家劳务费管理办法》的通知</w:t>
            </w:r>
          </w:p>
        </w:tc>
      </w:tr>
      <w:tr w14:paraId="242E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rPr>
        <w:tc>
          <w:tcPr>
            <w:tcW w:w="0" w:type="auto"/>
            <w:tcBorders>
              <w:top w:val="single" w:color="E0E0E0" w:sz="6" w:space="0"/>
              <w:left w:val="single" w:color="E0E0E0" w:sz="6" w:space="0"/>
              <w:bottom w:val="single" w:color="E0E0E0" w:sz="6" w:space="0"/>
              <w:right w:val="single" w:color="E0E0E0" w:sz="6" w:space="0"/>
            </w:tcBorders>
            <w:shd w:val="clear" w:color="auto" w:fill="F6F7F7"/>
            <w:vAlign w:val="center"/>
          </w:tcPr>
          <w:p w14:paraId="0593F088">
            <w:pPr>
              <w:keepNext w:val="0"/>
              <w:keepLines w:val="0"/>
              <w:widowControl/>
              <w:suppressLineNumbers w:val="0"/>
              <w:spacing w:before="0" w:beforeAutospacing="0" w:after="0" w:afterAutospacing="0" w:line="450" w:lineRule="atLeast"/>
              <w:ind w:left="0" w:right="0"/>
              <w:jc w:val="center"/>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kern w:val="0"/>
                <w:sz w:val="27"/>
                <w:szCs w:val="27"/>
                <w:bdr w:val="none" w:color="auto" w:sz="0" w:space="0"/>
                <w:lang w:val="en-US" w:eastAsia="zh-CN" w:bidi="ar"/>
              </w:rPr>
              <w:t>时  效</w:t>
            </w:r>
          </w:p>
        </w:tc>
        <w:tc>
          <w:tcPr>
            <w:tcW w:w="0" w:type="auto"/>
            <w:gridSpan w:val="3"/>
            <w:tcBorders>
              <w:top w:val="single" w:color="E0E0E0" w:sz="6" w:space="0"/>
              <w:left w:val="single" w:color="E0E0E0" w:sz="6" w:space="0"/>
              <w:bottom w:val="single" w:color="E0E0E0" w:sz="6" w:space="0"/>
              <w:right w:val="single" w:color="E0E0E0" w:sz="6" w:space="0"/>
            </w:tcBorders>
            <w:shd w:val="clear" w:color="auto" w:fill="FFFFFF"/>
            <w:vAlign w:val="center"/>
          </w:tcPr>
          <w:p w14:paraId="58575EB0">
            <w:pPr>
              <w:jc w:val="left"/>
              <w:rPr>
                <w:rFonts w:hint="eastAsia" w:ascii="微软雅黑" w:hAnsi="微软雅黑" w:eastAsia="微软雅黑" w:cs="微软雅黑"/>
                <w:i w:val="0"/>
                <w:iCs w:val="0"/>
                <w:caps w:val="0"/>
                <w:color w:val="auto"/>
                <w:spacing w:val="0"/>
                <w:sz w:val="27"/>
                <w:szCs w:val="27"/>
              </w:rPr>
            </w:pPr>
          </w:p>
        </w:tc>
      </w:tr>
    </w:tbl>
    <w:p w14:paraId="001899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color w:val="auto"/>
          <w:sz w:val="21"/>
          <w:szCs w:val="21"/>
        </w:rPr>
      </w:pPr>
      <w:r>
        <w:rPr>
          <w:rFonts w:ascii="方正仿宋_GBK" w:hAnsi="方正仿宋_GBK" w:eastAsia="方正仿宋_GBK" w:cs="方正仿宋_GBK"/>
          <w:i w:val="0"/>
          <w:iCs w:val="0"/>
          <w:caps w:val="0"/>
          <w:color w:val="auto"/>
          <w:spacing w:val="0"/>
          <w:sz w:val="31"/>
          <w:szCs w:val="31"/>
          <w:bdr w:val="none" w:color="auto" w:sz="0" w:space="0"/>
          <w:shd w:val="clear" w:fill="FFFFFF"/>
        </w:rPr>
        <w:t>省委各部委，省各委办厅局，省各直属单位：</w:t>
      </w:r>
    </w:p>
    <w:p w14:paraId="2ECFAB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color w:val="auto"/>
          <w:sz w:val="21"/>
          <w:szCs w:val="2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为深入贯彻落实中央八项规定精神，规范省级党政机关评审工作专家劳务费支出管理，根据有关法律法规和财政财务管理制度规定，我们研究制定了《江苏省省级机关评审工作专家劳务费管理办法》。现印发给你们，请认真遵照执行。</w:t>
      </w:r>
    </w:p>
    <w:p w14:paraId="70F1D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color w:val="auto"/>
          <w:sz w:val="21"/>
          <w:szCs w:val="21"/>
        </w:rPr>
      </w:pPr>
      <w:r>
        <w:rPr>
          <w:rFonts w:hint="default" w:ascii="Times New Roman" w:hAnsi="Times New Roman" w:eastAsia="微软雅黑" w:cs="Times New Roman"/>
          <w:i w:val="0"/>
          <w:iCs w:val="0"/>
          <w:caps w:val="0"/>
          <w:color w:val="auto"/>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附件：《江苏省省级机关评审工作专家劳务费管理办法》</w:t>
      </w:r>
    </w:p>
    <w:p w14:paraId="09D4D7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color w:val="auto"/>
          <w:sz w:val="21"/>
          <w:szCs w:val="21"/>
        </w:rPr>
      </w:pPr>
    </w:p>
    <w:p w14:paraId="0DB80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Times New Roman" w:hAnsi="Times New Roman" w:cs="Times New Roman"/>
          <w:color w:val="auto"/>
          <w:sz w:val="31"/>
          <w:szCs w:val="31"/>
        </w:rPr>
      </w:pPr>
      <w:r>
        <w:rPr>
          <w:rFonts w:ascii="方正黑体_GBK" w:hAnsi="方正黑体_GBK" w:eastAsia="方正黑体_GBK" w:cs="方正黑体_GBK"/>
          <w:i w:val="0"/>
          <w:iCs w:val="0"/>
          <w:caps w:val="0"/>
          <w:color w:val="auto"/>
          <w:spacing w:val="0"/>
          <w:sz w:val="31"/>
          <w:szCs w:val="31"/>
          <w:bdr w:val="none" w:color="auto" w:sz="0" w:space="0"/>
          <w:shd w:val="clear" w:fill="FFFFFF"/>
        </w:rPr>
        <w:t>附件</w:t>
      </w:r>
    </w:p>
    <w:p w14:paraId="52B8A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5" w:beforeAutospacing="0" w:after="0" w:afterAutospacing="0" w:line="600" w:lineRule="atLeast"/>
        <w:ind w:left="0" w:right="0"/>
        <w:jc w:val="center"/>
        <w:rPr>
          <w:rFonts w:hint="default" w:ascii="Times New Roman" w:hAnsi="Times New Roman" w:cs="Times New Roman"/>
          <w:color w:val="auto"/>
          <w:sz w:val="31"/>
          <w:szCs w:val="31"/>
        </w:rPr>
      </w:pPr>
      <w:r>
        <w:rPr>
          <w:rFonts w:ascii="方正小标宋_GBK" w:hAnsi="方正小标宋_GBK" w:eastAsia="方正小标宋_GBK" w:cs="方正小标宋_GBK"/>
          <w:i w:val="0"/>
          <w:iCs w:val="0"/>
          <w:caps w:val="0"/>
          <w:color w:val="auto"/>
          <w:spacing w:val="0"/>
          <w:sz w:val="43"/>
          <w:szCs w:val="43"/>
          <w:bdr w:val="none" w:color="auto" w:sz="0" w:space="0"/>
          <w:shd w:val="clear" w:fill="FFFFFF"/>
        </w:rPr>
        <w:t>江苏省省级机关评审工作专家劳务费管理办法</w:t>
      </w:r>
    </w:p>
    <w:p w14:paraId="16F137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both"/>
        <w:rPr>
          <w:rFonts w:hint="default" w:ascii="Times New Roman" w:hAnsi="Times New Roman" w:cs="Times New Roman"/>
          <w:color w:val="auto"/>
          <w:sz w:val="31"/>
          <w:szCs w:val="31"/>
        </w:rPr>
      </w:pPr>
      <w:r>
        <w:rPr>
          <w:rFonts w:hint="default" w:ascii="Times New Roman" w:hAnsi="Times New Roman" w:eastAsia="微软雅黑" w:cs="Times New Roman"/>
          <w:i w:val="0"/>
          <w:iCs w:val="0"/>
          <w:caps w:val="0"/>
          <w:color w:val="auto"/>
          <w:spacing w:val="0"/>
          <w:sz w:val="31"/>
          <w:szCs w:val="31"/>
          <w:bdr w:val="none" w:color="auto" w:sz="0" w:space="0"/>
          <w:shd w:val="clear" w:fill="FFFFFF"/>
        </w:rPr>
        <w:t> </w:t>
      </w:r>
    </w:p>
    <w:p w14:paraId="3CF7A7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第一条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为深入贯彻落实中央八项规定精神，规范省级党政机关评审工作专家劳务费支出管理，参考《中央财政科研项目专家咨询费管理办法》《江苏省省级机关培训费管理办法》《江苏省财政科研项目专家咨询费管理办法》等相关规定，结合工作实际，制定本办法。</w:t>
      </w:r>
    </w:p>
    <w:p w14:paraId="5BDA8F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第二条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本办法适用于省级党的机关、人大机关、行政机关、政协机关、监察机关、审判机关、检察机关、各人民团体、各民主党派、工商联，以及参照公务员法管理的事业单位（以下统称省级机关）。</w:t>
      </w:r>
    </w:p>
    <w:p w14:paraId="1841D6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第三条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本办法所称评审工作，是指省级机关在依法履行职责过程中根据工作需要组织的评审、评估、论证、咨询、验收、评定、认证、鉴定等活动。</w:t>
      </w:r>
    </w:p>
    <w:p w14:paraId="60D41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本办法所称专家，是指精通某一领域业务或对相关业务的某一方面有独到见解，具有相应专业技术职称或同等专业水平的人员。专家劳务费，是指省级机关开展评审工作支付给临时聘请专家的劳务支出。</w:t>
      </w:r>
    </w:p>
    <w:p w14:paraId="4EF2C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第四条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省级机关评审工作量较大的部门、单位可建立相关业务领域的评审工作专家库，组织评审工作时按照客观、公正、回避的原则选择专家参加。从各级党政机关邀请在职在编人员参加评审工作，应当仅限于对该项评审工作具备专业评审能力的人员，且应当正式发函邀请。</w:t>
      </w:r>
    </w:p>
    <w:p w14:paraId="5531C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 第五条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省级机关应当建立健全本机关在职在编人员受邀参加评审审批机制，对本机关在职在编人员应邀参加评审严格履行审批程序。</w:t>
      </w:r>
    </w:p>
    <w:p w14:paraId="70790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省级机关在职在编人员参加以下评审工作，不得以任何形式领取专家劳务费：</w:t>
      </w:r>
    </w:p>
    <w:p w14:paraId="04712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（一）参加本单位、本系统直接组织、管理的评审工作；</w:t>
      </w:r>
    </w:p>
    <w:p w14:paraId="08892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（二）本单位委托外单位协助完成的项目，委托单位人员参加该项目的评审工作；</w:t>
      </w:r>
    </w:p>
    <w:p w14:paraId="3696E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（三）受本单位委派、代表本单位履行单位职责参加的评审工作；</w:t>
      </w:r>
    </w:p>
    <w:p w14:paraId="56F7E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（四）本单位具有行政审批、行政处罚等行政职权的人员或专职从事评审工作的人员，履行本人岗位职责参加的评审工作；</w:t>
      </w:r>
    </w:p>
    <w:p w14:paraId="630739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（五）参加评审工作领取劳务费可能影响职务廉洁性的；</w:t>
      </w:r>
    </w:p>
    <w:p w14:paraId="4A2E9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（六）其他法律法规和有关制度规定禁止领取的情形。</w:t>
      </w:r>
    </w:p>
    <w:p w14:paraId="2B89F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领导干部领取评审专家劳务费的，应当严格执行领导干部报告个人有关事项规定。 </w:t>
      </w:r>
    </w:p>
    <w:p w14:paraId="3D5A1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第六条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省级机关评审工作专家劳务费支出遵循厉行节约、标准合理、管理规范、支出高效的原则。参加以会议（包括网络会议）等形式组织的现场评审工作，专家劳务费（税后）按照以下标准（上限）执行：</w:t>
      </w:r>
    </w:p>
    <w:p w14:paraId="0B7A70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正高级专业技术职称人员每人每天不超过</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3000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元，副高级专业技术职称人员每人每天不超过</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2000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元，其他专业人员每人每天不超过</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1000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元。</w:t>
      </w:r>
    </w:p>
    <w:p w14:paraId="18568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院士、中国社会科学院学部委员、享受国务院特殊津贴人员等全国知名专家，可按正高级专业技术职称人员标准上浮</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50%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执行。</w:t>
      </w:r>
    </w:p>
    <w:p w14:paraId="58030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邀请的专家没有专业技术职称的，可按其专业水平参照相应专业技术职称专家劳务费标准执行。</w:t>
      </w:r>
    </w:p>
    <w:p w14:paraId="08CE87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第七条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评审工作时间不超过半天（</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小时）的，专家劳务费按全天标准的</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60%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执行。</w:t>
      </w:r>
    </w:p>
    <w:p w14:paraId="1B02BF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评审时间超过</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天不超过</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天的，专家劳务费原则上从超过时间起按不超过本办法第六条相关标准的</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80%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执行；评审时间超过</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天的，专家劳务费原则上从第四天起按不超过本办法第六条相关标准的</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50%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执行。</w:t>
      </w:r>
    </w:p>
    <w:p w14:paraId="15553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第八条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采取信函、电子邮件等通讯方式开展的非现场评审工作，专家劳务费原则上按次计算，每次按本办法第六条相关标准的</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20%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w:t>
      </w:r>
      <w:r>
        <w:rPr>
          <w:rFonts w:hint="default" w:ascii="Times New Roman" w:hAnsi="Times New Roman" w:eastAsia="方正仿宋_GBK" w:cs="Times New Roman"/>
          <w:i w:val="0"/>
          <w:iCs w:val="0"/>
          <w:caps w:val="0"/>
          <w:color w:val="auto"/>
          <w:spacing w:val="0"/>
          <w:sz w:val="31"/>
          <w:szCs w:val="31"/>
          <w:bdr w:val="none" w:color="auto" w:sz="0" w:space="0"/>
          <w:shd w:val="clear" w:fill="FFFFFF"/>
        </w:rPr>
        <w:t>50%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执行。</w:t>
      </w:r>
    </w:p>
    <w:p w14:paraId="1CCF9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第九条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省级机关评审工作量较大的部门、单位应当参照本办法，结合相关领域评审工作实际情况，制定本部门、单位评审专家劳务费管理细则，在本办法第六条、第七条、第八条规定的标准限额内，明确专家劳务费支出标准。</w:t>
      </w:r>
    </w:p>
    <w:p w14:paraId="7B274C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第十条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专家参加评审工作产生的其他相关费用按照</w:t>
      </w:r>
      <w:r>
        <w:rPr>
          <w:rFonts w:hint="default" w:ascii="Times New Roman" w:hAnsi="Times New Roman" w:eastAsia="微软雅黑" w:cs="Times New Roman"/>
          <w:i w:val="0"/>
          <w:iCs w:val="0"/>
          <w:caps w:val="0"/>
          <w:color w:val="auto"/>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谁聘请、谁承担</w:t>
      </w:r>
      <w:r>
        <w:rPr>
          <w:rFonts w:hint="default" w:ascii="Times New Roman" w:hAnsi="Times New Roman" w:eastAsia="微软雅黑" w:cs="Times New Roman"/>
          <w:i w:val="0"/>
          <w:iCs w:val="0"/>
          <w:caps w:val="0"/>
          <w:color w:val="auto"/>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的原则负担。邀请异地专家的，其往返城市间交通费、评审期间的食宿费，可参照评审组织单位执行的差旅费管理办法相应标准向评审组织单位凭据报销。专家食宿由评审组织单位统一安排的，不得支付专家的住宿费、伙食费。</w:t>
      </w:r>
    </w:p>
    <w:p w14:paraId="1E3729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第十一条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省级机关应当在评审工作结束后</w:t>
      </w:r>
      <w:r>
        <w:rPr>
          <w:rFonts w:hint="default" w:ascii="Times New Roman" w:hAnsi="Times New Roman" w:eastAsia="微软雅黑" w:cs="Times New Roman"/>
          <w:i w:val="0"/>
          <w:iCs w:val="0"/>
          <w:caps w:val="0"/>
          <w:color w:val="auto"/>
          <w:spacing w:val="0"/>
          <w:sz w:val="31"/>
          <w:szCs w:val="31"/>
          <w:bdr w:val="none" w:color="auto" w:sz="0" w:space="0"/>
          <w:shd w:val="clear" w:fill="FFFFFF"/>
        </w:rPr>
        <w:t>30</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个工作日内支付专家劳务费，专家劳务费原则上以银行转账的方式支付。发放单位应当按照国家及江苏省有关规定代扣代缴个人所得税。</w:t>
      </w:r>
    </w:p>
    <w:p w14:paraId="4E414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第十二条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省级机关应当加强评审工作专家劳务费报销管理。报销时应当提供评审工作通知（包括评审时间、评审工作量等）、评审工作专家有关信息材料（姓名、职称、银行账户等），财务部门应当严格按规定审核报销凭证。</w:t>
      </w:r>
    </w:p>
    <w:p w14:paraId="6AA2A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第十三条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省级机关应当建立专家劳务费支付审核机制，加强对专家劳务费发放真实性、合规性的审核管理。对专家在评审工作中违反有关规定的，应当拒绝支付专家劳务费。</w:t>
      </w:r>
    </w:p>
    <w:p w14:paraId="5BCE1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第十四条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省财政厅会同省级有关部门对评审工作专家劳务费管理情况适时开展监督检查。对监督检查中发现的问题依规处置，对涉及违纪违法问题的移交纪检监察机关查处。</w:t>
      </w:r>
    </w:p>
    <w:p w14:paraId="00FA7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第十五条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各级财政科研项目承担单位在项目实施过程中使用科研项目经费支付给临时聘请咨询专家的费用，按照适用的中央和江苏省财政科研项目专家咨询费管理办法有关规定执行。各类政府采购项目评审工作专家劳务费，按照江苏省政府采购专家管理办法相关规定执行。</w:t>
      </w:r>
    </w:p>
    <w:p w14:paraId="56D04C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第十六条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不参照公务员法管理的省直事业单位可参照本办法执行。</w:t>
      </w:r>
    </w:p>
    <w:p w14:paraId="4E2D3D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第十七条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本办法由江苏省财政厅负责解释。</w:t>
      </w:r>
    </w:p>
    <w:p w14:paraId="4801D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color w:val="auto"/>
          <w:sz w:val="31"/>
          <w:szCs w:val="31"/>
        </w:rPr>
      </w:pPr>
      <w:r>
        <w:rPr>
          <w:rFonts w:hint="eastAsia" w:ascii="方正黑体_GBK" w:hAnsi="方正黑体_GBK" w:eastAsia="方正黑体_GBK" w:cs="方正黑体_GBK"/>
          <w:i w:val="0"/>
          <w:iCs w:val="0"/>
          <w:caps w:val="0"/>
          <w:color w:val="auto"/>
          <w:spacing w:val="0"/>
          <w:sz w:val="31"/>
          <w:szCs w:val="31"/>
          <w:bdr w:val="none" w:color="auto" w:sz="0" w:space="0"/>
          <w:shd w:val="clear" w:fill="FFFFFF"/>
        </w:rPr>
        <w:t>第十八条  </w:t>
      </w:r>
      <w:r>
        <w:rPr>
          <w:rFonts w:hint="eastAsia" w:ascii="方正仿宋_GBK" w:hAnsi="方正仿宋_GBK" w:eastAsia="方正仿宋_GBK" w:cs="方正仿宋_GBK"/>
          <w:i w:val="0"/>
          <w:iCs w:val="0"/>
          <w:caps w:val="0"/>
          <w:color w:val="auto"/>
          <w:spacing w:val="0"/>
          <w:sz w:val="31"/>
          <w:szCs w:val="31"/>
          <w:bdr w:val="none" w:color="auto" w:sz="0" w:space="0"/>
          <w:shd w:val="clear" w:fill="FFFFFF"/>
        </w:rPr>
        <w:t>本办法自印发之日起执行。</w:t>
      </w:r>
    </w:p>
    <w:p w14:paraId="7C6491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4B0B8D4B-4FA7-4FBB-B84F-632F2BEE682D}"/>
  </w:font>
  <w:font w:name="方正仿宋_GBK">
    <w:panose1 w:val="03000509000000000000"/>
    <w:charset w:val="86"/>
    <w:family w:val="auto"/>
    <w:pitch w:val="default"/>
    <w:sig w:usb0="00000001" w:usb1="080E0000" w:usb2="00000000" w:usb3="00000000" w:csb0="00040000" w:csb1="00000000"/>
    <w:embedRegular r:id="rId2" w:fontKey="{2469619B-50D4-407C-A022-CC8581BB0E1B}"/>
  </w:font>
  <w:font w:name="方正黑体_GBK">
    <w:panose1 w:val="02010600010101010101"/>
    <w:charset w:val="86"/>
    <w:family w:val="auto"/>
    <w:pitch w:val="default"/>
    <w:sig w:usb0="00000001" w:usb1="080E0000" w:usb2="00000000" w:usb3="00000000" w:csb0="00040000" w:csb1="00000000"/>
    <w:embedRegular r:id="rId3" w:fontKey="{C5C5B3CC-3D57-4904-85E3-7CFD63B5C6A5}"/>
  </w:font>
  <w:font w:name="方正小标宋_GBK">
    <w:panose1 w:val="02000000000000000000"/>
    <w:charset w:val="86"/>
    <w:family w:val="auto"/>
    <w:pitch w:val="default"/>
    <w:sig w:usb0="00000001" w:usb1="080E0000" w:usb2="00000000" w:usb3="00000000" w:csb0="00040000" w:csb1="00000000"/>
    <w:embedRegular r:id="rId4" w:fontKey="{BC99CADB-79AA-4069-A775-8698BE7855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E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2025-09-25T06:14:43Z</dcterms:created>
  <dc:creator>user31</dc:creator>
  <cp:lastModifiedBy>吴瑒</cp:lastModifiedBy>
  <dcterms:modified xsi:type="dcterms:W3CDTF">2025-09-25T06:15:55Z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eyJoZGlkIjoiZmNiODYyMzkwNWQyZTVhY2RlZTBmODhkNzYxNzM3MWYiLCJ1c2VySWQiOiIxNjM3ODEwMTQzIn0=</vt:lpwstr>
  </property>
  <property fmtid="{D5CDD505-2E9C-101B-9397-08002B2CF9AE}" pid="4" name="ICV">
    <vt:lpwstr>CC047E3DF555486FB3F39C6024412DA4_12</vt:lpwstr>
  </property>
</Properties>
</file>